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53EBC" w14:textId="77777777" w:rsidR="000A2A44" w:rsidRDefault="000A2A44" w:rsidP="00A608FF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346490A2" w14:textId="77777777" w:rsidR="009A60F8" w:rsidRDefault="00F8529D" w:rsidP="00602B4F">
      <w:pPr>
        <w:spacing w:line="400" w:lineRule="exact"/>
        <w:ind w:firstLineChars="600" w:firstLine="168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F8529D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崂应7030</w:t>
      </w:r>
      <w:r w:rsidR="00567FBE">
        <w:rPr>
          <w:rFonts w:ascii="微软雅黑" w:eastAsia="微软雅黑" w:hAnsi="微软雅黑"/>
          <w:b/>
          <w:color w:val="000000"/>
          <w:sz w:val="28"/>
          <w:szCs w:val="28"/>
        </w:rPr>
        <w:t>L</w:t>
      </w:r>
      <w:r w:rsidRPr="00F8529D">
        <w:rPr>
          <w:rFonts w:ascii="微软雅黑" w:eastAsia="微软雅黑" w:hAnsi="微软雅黑" w:hint="eastAsia"/>
          <w:b/>
          <w:color w:val="000000"/>
          <w:sz w:val="28"/>
          <w:szCs w:val="28"/>
        </w:rPr>
        <w:t>型 智能皂膜流量计</w:t>
      </w:r>
    </w:p>
    <w:p w14:paraId="110D64A1" w14:textId="77777777" w:rsidR="00D023E4" w:rsidRDefault="00602B4F" w:rsidP="00D023E4">
      <w:pPr>
        <w:spacing w:line="400" w:lineRule="exact"/>
        <w:ind w:firstLineChars="600" w:firstLine="1320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81792" behindDoc="1" locked="0" layoutInCell="1" allowOverlap="1" wp14:anchorId="7B44FC3D" wp14:editId="208DAFB1">
            <wp:simplePos x="0" y="0"/>
            <wp:positionH relativeFrom="margin">
              <wp:posOffset>1798320</wp:posOffset>
            </wp:positionH>
            <wp:positionV relativeFrom="margin">
              <wp:posOffset>931545</wp:posOffset>
            </wp:positionV>
            <wp:extent cx="2566670" cy="2566670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0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56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A3CCB" w14:textId="77777777" w:rsidR="00D023E4" w:rsidRDefault="00D023E4" w:rsidP="00BA2FD1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545B1C73" w14:textId="77777777" w:rsidR="00602B4F" w:rsidRDefault="00602B4F" w:rsidP="00BA2FD1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465F4669" w14:textId="77777777" w:rsidR="00916520" w:rsidRDefault="00E30B41" w:rsidP="00916520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 w:rsidRPr="00E30B41">
        <w:rPr>
          <w:rFonts w:ascii="微软雅黑" w:eastAsia="微软雅黑" w:hAnsi="微软雅黑" w:hint="eastAsia"/>
          <w:noProof/>
          <w:sz w:val="22"/>
        </w:rPr>
        <w:t>本仪器</w:t>
      </w:r>
      <w:r w:rsidR="00602B4F" w:rsidRPr="00602B4F">
        <w:rPr>
          <w:rFonts w:ascii="微软雅黑" w:eastAsia="微软雅黑" w:hAnsi="微软雅黑" w:hint="eastAsia"/>
          <w:noProof/>
          <w:sz w:val="22"/>
        </w:rPr>
        <w:t>用于中、小气体流量的测量和标定，采用红外光电传感技术，抗干扰能力强、数据准确。广泛适用于计量检定、环境监测、劳保卫生、科研院所及其它需要气体流量校准的场合。</w:t>
      </w:r>
    </w:p>
    <w:p w14:paraId="501D13CB" w14:textId="77777777" w:rsidR="00916520" w:rsidRDefault="00916520" w:rsidP="00916520">
      <w:pPr>
        <w:spacing w:line="400" w:lineRule="exact"/>
        <w:rPr>
          <w:rFonts w:ascii="微软雅黑" w:eastAsia="微软雅黑" w:hAnsi="微软雅黑"/>
          <w:noProof/>
          <w:sz w:val="22"/>
        </w:rPr>
      </w:pPr>
    </w:p>
    <w:p w14:paraId="068D30EF" w14:textId="77777777" w:rsidR="00602B4F" w:rsidRDefault="00602B4F" w:rsidP="00916520">
      <w:pPr>
        <w:spacing w:line="400" w:lineRule="exact"/>
        <w:rPr>
          <w:rFonts w:ascii="微软雅黑" w:eastAsia="微软雅黑" w:hAnsi="微软雅黑"/>
          <w:noProof/>
          <w:sz w:val="22"/>
        </w:rPr>
      </w:pPr>
    </w:p>
    <w:p w14:paraId="719B00A9" w14:textId="77777777" w:rsidR="0037322F" w:rsidRPr="00916520" w:rsidRDefault="0037322F" w:rsidP="00916520">
      <w:pPr>
        <w:spacing w:line="400" w:lineRule="exact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执行标准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</w:p>
    <w:p w14:paraId="62754A4E" w14:textId="77777777" w:rsidR="005624FF" w:rsidRPr="00E644CA" w:rsidRDefault="0037322F" w:rsidP="00E644CA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644CA">
        <w:rPr>
          <w:rFonts w:ascii="微软雅黑" w:eastAsia="微软雅黑" w:hAnsi="微软雅黑"/>
          <w:color w:val="000000"/>
          <w:sz w:val="22"/>
        </w:rPr>
        <w:t>JJG586-2006</w:t>
      </w:r>
      <w:r w:rsidRPr="00E644CA">
        <w:rPr>
          <w:rFonts w:ascii="微软雅黑" w:eastAsia="微软雅黑" w:hAnsi="微软雅黑" w:hint="eastAsia"/>
          <w:color w:val="000000"/>
          <w:sz w:val="22"/>
        </w:rPr>
        <w:t xml:space="preserve"> 皂膜流量计</w:t>
      </w:r>
      <w:r w:rsidR="0068616F">
        <w:rPr>
          <w:rFonts w:ascii="微软雅黑" w:eastAsia="微软雅黑" w:hAnsi="微软雅黑" w:hint="eastAsia"/>
          <w:color w:val="000000"/>
          <w:sz w:val="22"/>
        </w:rPr>
        <w:t>检定规程</w:t>
      </w:r>
    </w:p>
    <w:p w14:paraId="48B0765D" w14:textId="77777777" w:rsidR="00602B4F" w:rsidRDefault="00602B4F" w:rsidP="00FA39E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34B9BA6F" w14:textId="77777777" w:rsidR="00602B4F" w:rsidRDefault="00602B4F" w:rsidP="00FA39E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5431F656" w14:textId="77777777" w:rsidR="00327294" w:rsidRPr="00D221B7" w:rsidRDefault="00083754" w:rsidP="00FA39E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主要特点 </w:t>
      </w:r>
    </w:p>
    <w:p w14:paraId="1BC41C0F" w14:textId="77777777" w:rsidR="00602B4F" w:rsidRPr="00602B4F" w:rsidRDefault="00602B4F" w:rsidP="00602B4F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02B4F">
        <w:rPr>
          <w:rFonts w:ascii="微软雅黑" w:eastAsia="微软雅黑" w:hAnsi="微软雅黑" w:hint="eastAsia"/>
          <w:noProof/>
          <w:sz w:val="22"/>
        </w:rPr>
        <w:t>采用红外检测技术检测皂膜，抗干扰能力强</w:t>
      </w:r>
    </w:p>
    <w:p w14:paraId="4D75249E" w14:textId="77777777" w:rsidR="00602B4F" w:rsidRPr="00602B4F" w:rsidRDefault="00602B4F" w:rsidP="00602B4F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02B4F">
        <w:rPr>
          <w:rFonts w:ascii="微软雅黑" w:eastAsia="微软雅黑" w:hAnsi="微软雅黑" w:hint="eastAsia"/>
          <w:noProof/>
          <w:sz w:val="22"/>
        </w:rPr>
        <w:t>采用模具加工制作，品质好、可靠性高</w:t>
      </w:r>
    </w:p>
    <w:p w14:paraId="220AB1F1" w14:textId="77777777" w:rsidR="00602B4F" w:rsidRPr="00602B4F" w:rsidRDefault="00602B4F" w:rsidP="00602B4F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02B4F">
        <w:rPr>
          <w:rFonts w:ascii="微软雅黑" w:eastAsia="微软雅黑" w:hAnsi="微软雅黑" w:hint="eastAsia"/>
          <w:noProof/>
          <w:sz w:val="22"/>
        </w:rPr>
        <w:t>自动测量环境温度、环境大气压</w:t>
      </w:r>
    </w:p>
    <w:p w14:paraId="0F593DA6" w14:textId="77777777" w:rsidR="00602B4F" w:rsidRPr="00602B4F" w:rsidRDefault="00602B4F" w:rsidP="00602B4F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02B4F">
        <w:rPr>
          <w:rFonts w:ascii="微软雅黑" w:eastAsia="微软雅黑" w:hAnsi="微软雅黑" w:hint="eastAsia"/>
          <w:noProof/>
          <w:sz w:val="22"/>
        </w:rPr>
        <w:t>自动换算标况流量</w:t>
      </w:r>
    </w:p>
    <w:p w14:paraId="6D9ECDA3" w14:textId="77777777" w:rsidR="00602B4F" w:rsidRPr="00602B4F" w:rsidRDefault="00602B4F" w:rsidP="00602B4F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02B4F">
        <w:rPr>
          <w:rFonts w:ascii="微软雅黑" w:eastAsia="微软雅黑" w:hAnsi="微软雅黑" w:hint="eastAsia"/>
          <w:noProof/>
          <w:sz w:val="22"/>
        </w:rPr>
        <w:t>操作简单、拆卸清洗方便</w:t>
      </w:r>
    </w:p>
    <w:p w14:paraId="0043D93C" w14:textId="77777777" w:rsidR="00602B4F" w:rsidRDefault="00602B4F" w:rsidP="00602B4F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02B4F">
        <w:rPr>
          <w:rFonts w:ascii="微软雅黑" w:eastAsia="微软雅黑" w:hAnsi="微软雅黑" w:hint="eastAsia"/>
          <w:noProof/>
          <w:sz w:val="22"/>
        </w:rPr>
        <w:t>点阵式液晶显示屏，中文菜单化操作</w:t>
      </w:r>
    </w:p>
    <w:p w14:paraId="45F17F61" w14:textId="77777777" w:rsidR="00602B4F" w:rsidRPr="00602B4F" w:rsidRDefault="00602B4F" w:rsidP="00602B4F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02B4F">
        <w:rPr>
          <w:rFonts w:ascii="微软雅黑" w:eastAsia="微软雅黑" w:hAnsi="微软雅黑" w:hint="eastAsia"/>
          <w:noProof/>
          <w:sz w:val="22"/>
        </w:rPr>
        <w:t>交直流两用，内置可充电高能锂电池</w:t>
      </w:r>
    </w:p>
    <w:p w14:paraId="5CB08900" w14:textId="77777777" w:rsidR="00474D94" w:rsidRPr="00872564" w:rsidRDefault="00474D94" w:rsidP="00474D94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E3A70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7B84A847" w14:textId="77777777" w:rsidR="005624FF" w:rsidRPr="00474D94" w:rsidRDefault="005624FF" w:rsidP="00FB6EA1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14:paraId="2B389F7C" w14:textId="77777777" w:rsidR="00602B4F" w:rsidRPr="00602B4F" w:rsidRDefault="00602B4F" w:rsidP="00FB6EA1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14:paraId="364B1CE8" w14:textId="77777777" w:rsidR="00602B4F" w:rsidRPr="008B3767" w:rsidRDefault="00602B4F" w:rsidP="007558B2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</w:p>
    <w:p w14:paraId="7AA0C758" w14:textId="77777777" w:rsidR="00876350" w:rsidRPr="00F551B9" w:rsidRDefault="00876350" w:rsidP="0087635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14:paraId="050C7DB9" w14:textId="77777777" w:rsidR="00876350" w:rsidRPr="00F551B9" w:rsidRDefault="00876350" w:rsidP="007B28C4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4B3FD455" w14:textId="77777777" w:rsidR="00916520" w:rsidRDefault="00876350" w:rsidP="00517658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E644CA">
        <w:rPr>
          <w:rFonts w:ascii="微软雅黑" w:eastAsia="微软雅黑" w:hAnsi="微软雅黑" w:hint="eastAsia"/>
          <w:noProof/>
          <w:sz w:val="22"/>
        </w:rPr>
        <w:t>主机</w:t>
      </w:r>
      <w:r w:rsidR="00517658" w:rsidRPr="00E644CA">
        <w:rPr>
          <w:rFonts w:ascii="微软雅黑" w:eastAsia="微软雅黑" w:hAnsi="微软雅黑" w:hint="eastAsia"/>
          <w:noProof/>
          <w:sz w:val="22"/>
        </w:rPr>
        <w:t xml:space="preserve">          </w:t>
      </w:r>
    </w:p>
    <w:p w14:paraId="6AC1AE92" w14:textId="77777777" w:rsidR="00916520" w:rsidRDefault="00916520" w:rsidP="00517658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电源适配器</w:t>
      </w:r>
    </w:p>
    <w:p w14:paraId="2353143F" w14:textId="77777777" w:rsidR="00916520" w:rsidRDefault="00916520" w:rsidP="00517658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注射器</w:t>
      </w:r>
    </w:p>
    <w:p w14:paraId="453C7C5E" w14:textId="77777777" w:rsidR="00916520" w:rsidRDefault="00916520" w:rsidP="00517658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皂液瓶</w:t>
      </w:r>
    </w:p>
    <w:p w14:paraId="3C7C06ED" w14:textId="77777777" w:rsidR="00876350" w:rsidRDefault="00916520" w:rsidP="00517658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916520">
        <w:rPr>
          <w:rFonts w:ascii="微软雅黑" w:eastAsia="微软雅黑" w:hAnsi="微软雅黑" w:hint="eastAsia"/>
          <w:noProof/>
          <w:sz w:val="22"/>
        </w:rPr>
        <w:t>硅胶管</w:t>
      </w:r>
    </w:p>
    <w:p w14:paraId="7D2297B2" w14:textId="77777777" w:rsidR="00602B4F" w:rsidRDefault="00602B4F" w:rsidP="00602B4F">
      <w:pPr>
        <w:pStyle w:val="a9"/>
        <w:spacing w:line="44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14:paraId="3322938E" w14:textId="77777777" w:rsidR="00602B4F" w:rsidRPr="00916520" w:rsidRDefault="00602B4F" w:rsidP="00602B4F">
      <w:pPr>
        <w:pStyle w:val="a9"/>
        <w:spacing w:line="44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14:paraId="50838D38" w14:textId="77777777"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61CD86FE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24C09C76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0C3F1AB6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6BF0624D" w14:textId="77777777" w:rsidR="00083754" w:rsidRPr="00083754" w:rsidRDefault="00DF0A13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7FF807EC" w14:textId="77777777" w:rsidR="00083754" w:rsidRPr="0082578E" w:rsidRDefault="005511FC" w:rsidP="0082578E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B02B10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14:paraId="6954F4EC" w14:textId="77777777" w:rsidR="00083754" w:rsidRDefault="00083754"/>
    <w:sectPr w:rsidR="00083754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90641" w14:textId="77777777" w:rsidR="00957D8E" w:rsidRDefault="00957D8E" w:rsidP="00083754">
      <w:r>
        <w:separator/>
      </w:r>
    </w:p>
  </w:endnote>
  <w:endnote w:type="continuationSeparator" w:id="0">
    <w:p w14:paraId="01616874" w14:textId="77777777" w:rsidR="00957D8E" w:rsidRDefault="00957D8E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0C74" w14:textId="77777777" w:rsidR="00DF0A13" w:rsidRDefault="00DF0A13" w:rsidP="00DF0A13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876B20A" wp14:editId="1C98EF18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C9634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" strokeweight="1pt"/>
          </w:pict>
        </mc:Fallback>
      </mc:AlternateContent>
    </w:r>
    <w:r>
      <w:rPr>
        <w:rFonts w:hint="eastAsia"/>
        <w:kern w:val="0"/>
        <w:szCs w:val="21"/>
      </w:rPr>
      <w:t>服务热线：</w:t>
    </w:r>
    <w:r>
      <w:rPr>
        <w:kern w:val="0"/>
        <w:szCs w:val="21"/>
      </w:rPr>
      <w:t>400-676-5892                                                               Web</w:t>
    </w:r>
    <w:r>
      <w:rPr>
        <w:rFonts w:hint="eastAsia"/>
        <w:kern w:val="0"/>
        <w:szCs w:val="21"/>
      </w:rPr>
      <w:t>：</w:t>
    </w:r>
    <w:r>
      <w:rPr>
        <w:kern w:val="0"/>
        <w:szCs w:val="21"/>
      </w:rPr>
      <w:t>www.hbyq.net</w:t>
    </w:r>
  </w:p>
  <w:p w14:paraId="65838399" w14:textId="77777777" w:rsidR="00356A5B" w:rsidRPr="00DF0A13" w:rsidRDefault="00356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BBEB3" w14:textId="77777777" w:rsidR="00957D8E" w:rsidRDefault="00957D8E" w:rsidP="00083754">
      <w:r>
        <w:separator/>
      </w:r>
    </w:p>
  </w:footnote>
  <w:footnote w:type="continuationSeparator" w:id="0">
    <w:p w14:paraId="6B477FF2" w14:textId="77777777" w:rsidR="00957D8E" w:rsidRDefault="00957D8E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915EB" w14:textId="77777777"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2747145A" wp14:editId="6CE496B6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82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6C15A64"/>
    <w:multiLevelType w:val="hybridMultilevel"/>
    <w:tmpl w:val="2DA6B616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295466"/>
    <w:multiLevelType w:val="hybridMultilevel"/>
    <w:tmpl w:val="4B08E9B8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52110C"/>
    <w:multiLevelType w:val="hybridMultilevel"/>
    <w:tmpl w:val="9C7E20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F12876"/>
    <w:multiLevelType w:val="hybridMultilevel"/>
    <w:tmpl w:val="5B0EC2E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6060D776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F074BC"/>
    <w:multiLevelType w:val="hybridMultilevel"/>
    <w:tmpl w:val="5D4CB40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D35E2C"/>
    <w:multiLevelType w:val="hybridMultilevel"/>
    <w:tmpl w:val="F484FD02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6D790BBD"/>
    <w:multiLevelType w:val="hybridMultilevel"/>
    <w:tmpl w:val="7F2E6AF2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15241"/>
    <w:rsid w:val="00083754"/>
    <w:rsid w:val="000A2A44"/>
    <w:rsid w:val="000E25EE"/>
    <w:rsid w:val="000E6B3E"/>
    <w:rsid w:val="00115B26"/>
    <w:rsid w:val="00135AC6"/>
    <w:rsid w:val="001C2085"/>
    <w:rsid w:val="00202871"/>
    <w:rsid w:val="00225F0B"/>
    <w:rsid w:val="00290025"/>
    <w:rsid w:val="0029380D"/>
    <w:rsid w:val="002A1FE7"/>
    <w:rsid w:val="002D278A"/>
    <w:rsid w:val="002E5BC6"/>
    <w:rsid w:val="002E7CEB"/>
    <w:rsid w:val="0032190B"/>
    <w:rsid w:val="00327294"/>
    <w:rsid w:val="00356A5B"/>
    <w:rsid w:val="0037322F"/>
    <w:rsid w:val="00374216"/>
    <w:rsid w:val="00395458"/>
    <w:rsid w:val="00474D94"/>
    <w:rsid w:val="00475955"/>
    <w:rsid w:val="004A1151"/>
    <w:rsid w:val="004C2E60"/>
    <w:rsid w:val="004F352B"/>
    <w:rsid w:val="00517658"/>
    <w:rsid w:val="005511FC"/>
    <w:rsid w:val="0055649C"/>
    <w:rsid w:val="005624FF"/>
    <w:rsid w:val="0056726D"/>
    <w:rsid w:val="00567FBE"/>
    <w:rsid w:val="00571FE8"/>
    <w:rsid w:val="00580598"/>
    <w:rsid w:val="00585BEB"/>
    <w:rsid w:val="005B26DC"/>
    <w:rsid w:val="005D3DC8"/>
    <w:rsid w:val="005E65D8"/>
    <w:rsid w:val="00602B4F"/>
    <w:rsid w:val="00655DD1"/>
    <w:rsid w:val="006602C9"/>
    <w:rsid w:val="00681462"/>
    <w:rsid w:val="0068616F"/>
    <w:rsid w:val="00696DC8"/>
    <w:rsid w:val="006C0747"/>
    <w:rsid w:val="006C0FD3"/>
    <w:rsid w:val="006C3962"/>
    <w:rsid w:val="006D2E0D"/>
    <w:rsid w:val="006E651A"/>
    <w:rsid w:val="006F165C"/>
    <w:rsid w:val="00716903"/>
    <w:rsid w:val="007255F0"/>
    <w:rsid w:val="007558B2"/>
    <w:rsid w:val="00761568"/>
    <w:rsid w:val="00766809"/>
    <w:rsid w:val="007A3729"/>
    <w:rsid w:val="007B28C4"/>
    <w:rsid w:val="007C1274"/>
    <w:rsid w:val="007C4035"/>
    <w:rsid w:val="007F7266"/>
    <w:rsid w:val="0082578E"/>
    <w:rsid w:val="008440ED"/>
    <w:rsid w:val="00876350"/>
    <w:rsid w:val="00893E57"/>
    <w:rsid w:val="008B3767"/>
    <w:rsid w:val="008C77EA"/>
    <w:rsid w:val="008F30A7"/>
    <w:rsid w:val="00916520"/>
    <w:rsid w:val="00957D8E"/>
    <w:rsid w:val="00970618"/>
    <w:rsid w:val="009846E3"/>
    <w:rsid w:val="009A60F8"/>
    <w:rsid w:val="00A34225"/>
    <w:rsid w:val="00A608FF"/>
    <w:rsid w:val="00AE2CC8"/>
    <w:rsid w:val="00AE3E5A"/>
    <w:rsid w:val="00AE5F86"/>
    <w:rsid w:val="00B02B10"/>
    <w:rsid w:val="00B200EA"/>
    <w:rsid w:val="00B318E2"/>
    <w:rsid w:val="00BA2FD1"/>
    <w:rsid w:val="00BA5E54"/>
    <w:rsid w:val="00BD2B17"/>
    <w:rsid w:val="00C025AD"/>
    <w:rsid w:val="00C406BA"/>
    <w:rsid w:val="00C56E8F"/>
    <w:rsid w:val="00C62985"/>
    <w:rsid w:val="00C87328"/>
    <w:rsid w:val="00C94531"/>
    <w:rsid w:val="00CB114E"/>
    <w:rsid w:val="00D00B9D"/>
    <w:rsid w:val="00D023E4"/>
    <w:rsid w:val="00D10DD8"/>
    <w:rsid w:val="00D159A1"/>
    <w:rsid w:val="00D221B7"/>
    <w:rsid w:val="00D47755"/>
    <w:rsid w:val="00D9216A"/>
    <w:rsid w:val="00DC3CE1"/>
    <w:rsid w:val="00DF0A13"/>
    <w:rsid w:val="00E30057"/>
    <w:rsid w:val="00E30B41"/>
    <w:rsid w:val="00E31759"/>
    <w:rsid w:val="00E353F1"/>
    <w:rsid w:val="00E42C91"/>
    <w:rsid w:val="00E60A54"/>
    <w:rsid w:val="00E644CA"/>
    <w:rsid w:val="00E76797"/>
    <w:rsid w:val="00EC0519"/>
    <w:rsid w:val="00EE37E2"/>
    <w:rsid w:val="00EF17E9"/>
    <w:rsid w:val="00F45CD3"/>
    <w:rsid w:val="00F8529D"/>
    <w:rsid w:val="00FA39EE"/>
    <w:rsid w:val="00FB26AF"/>
    <w:rsid w:val="00FB6EA1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FF199F"/>
  <w15:docId w15:val="{7BEB1FD0-B794-42D1-9ADF-DECBD5F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644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A181-7429-4C53-AFF7-86E95A76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2021-08-07T10:13:00Z</dcterms:created>
  <dcterms:modified xsi:type="dcterms:W3CDTF">2021-08-07T10:13:00Z</dcterms:modified>
</cp:coreProperties>
</file>