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21" w:firstLineChars="65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763905" cy="38544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1280机械杂质测定仪</w:t>
      </w:r>
    </w:p>
    <w:p>
      <w:pPr>
        <w:ind w:firstLine="840" w:firstLineChars="400"/>
        <w:jc w:val="center"/>
        <w:rPr>
          <w:b/>
          <w:color w:val="000000"/>
          <w:sz w:val="28"/>
          <w:szCs w:val="28"/>
        </w:rPr>
      </w:pPr>
      <w:r>
        <w:drawing>
          <wp:inline distT="0" distB="0" distL="0" distR="0">
            <wp:extent cx="1150620" cy="23012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FFFFFF"/>
          <w:shd w:val="clear" w:color="auto" w:fill="EE8512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76" w:lineRule="auto"/>
        <w:rPr>
          <w:b/>
          <w:color w:val="FFFFFF"/>
          <w:shd w:val="clear" w:color="auto" w:fill="EE8512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r>
        <w:rPr>
          <w:rFonts w:hint="eastAsia"/>
        </w:rPr>
        <w:t>A1280机械杂质测定仪符合GB/T511标准,适用于测定石油产品中的各类轻、重质油、润滑油及添加剂的机械杂质的含量。可广泛应用于电力、石油、化工、商检及科研等部门。</w:t>
      </w:r>
    </w:p>
    <w:p>
      <w:pPr>
        <w:spacing w:line="276" w:lineRule="auto"/>
        <w:jc w:val="both"/>
        <w:rPr>
          <w:b/>
          <w:color w:val="FFFFFF"/>
          <w:shd w:val="clear" w:color="auto" w:fill="EE851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  <w:r>
        <w:rPr>
          <w:rFonts w:hint="eastAsia"/>
          <w:b/>
          <w:color w:val="FFFFFF"/>
          <w:shd w:val="clear" w:color="auto" w:fill="EE8512"/>
        </w:rPr>
        <w:t>仪器特点</w:t>
      </w:r>
    </w:p>
    <w:p>
      <w:r>
        <w:rPr>
          <w:rFonts w:hint="eastAsia"/>
        </w:rPr>
        <w:t xml:space="preserve">1、数码显示，智能温控表控温 </w:t>
      </w:r>
    </w:p>
    <w:p>
      <w:r>
        <w:rPr>
          <w:rFonts w:hint="eastAsia"/>
        </w:rPr>
        <w:t>2、外形美观，测试方便，性能稳定可靠</w:t>
      </w:r>
    </w:p>
    <w:p>
      <w:r>
        <w:rPr>
          <w:rFonts w:hint="eastAsia"/>
        </w:rPr>
        <w:t>3、实现按标准要求的升温速率</w:t>
      </w:r>
    </w:p>
    <w:p>
      <w:pPr>
        <w:rPr>
          <w:b/>
          <w:color w:val="FFFFFF"/>
          <w:shd w:val="clear" w:color="auto" w:fill="EE8512"/>
        </w:rPr>
      </w:pPr>
      <w:r>
        <w:rPr>
          <w:rFonts w:hint="eastAsia"/>
        </w:rPr>
        <w:t>4、仪器主要由玻璃器皿、恒温水浴、真空 泵、电子控温箱组成</w:t>
      </w: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  <w:bookmarkStart w:id="0" w:name="_GoBack"/>
      <w:bookmarkEnd w:id="0"/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rFonts w:hint="eastAsia"/>
          <w:b/>
          <w:color w:val="FFFFFF"/>
          <w:shd w:val="clear" w:color="auto" w:fill="EE8512"/>
        </w:rPr>
      </w:pPr>
    </w:p>
    <w:p>
      <w:pPr>
        <w:spacing w:line="276" w:lineRule="auto"/>
        <w:jc w:val="both"/>
        <w:rPr>
          <w:b/>
          <w:color w:val="FFFFFF"/>
          <w:shd w:val="clear" w:color="auto" w:fill="EE8512"/>
        </w:rPr>
      </w:pPr>
      <w:r>
        <w:rPr>
          <w:rFonts w:hint="eastAsia"/>
          <w:b/>
          <w:color w:val="FFFFFF"/>
          <w:shd w:val="clear" w:color="auto" w:fill="EE8512"/>
        </w:rPr>
        <w:t>技术参数</w:t>
      </w:r>
    </w:p>
    <w:p>
      <w:r>
        <w:rPr>
          <w:rFonts w:hint="eastAsia"/>
        </w:rPr>
        <w:t>•  工作电源：  AC 220V±10%，50Hz</w:t>
      </w:r>
    </w:p>
    <w:p>
      <w:r>
        <w:rPr>
          <w:rFonts w:hint="eastAsia"/>
        </w:rPr>
        <w:t>•  水浴加热功率：    1000W</w:t>
      </w:r>
    </w:p>
    <w:p>
      <w:r>
        <w:rPr>
          <w:rFonts w:hint="eastAsia"/>
        </w:rPr>
        <w:t>•  水浴控温范围：    室温～90℃内可调</w:t>
      </w:r>
    </w:p>
    <w:p>
      <w:r>
        <w:rPr>
          <w:rFonts w:hint="eastAsia"/>
        </w:rPr>
        <w:t>•  水浴温度显示：    LED数字显示</w:t>
      </w:r>
    </w:p>
    <w:p>
      <w:r>
        <w:rPr>
          <w:rFonts w:hint="eastAsia"/>
        </w:rPr>
        <w:t>•  水浴控温精度：    ±1℃</w:t>
      </w:r>
    </w:p>
    <w:p>
      <w:r>
        <w:rPr>
          <w:rFonts w:hint="eastAsia"/>
        </w:rPr>
        <w:t>•  漏斗控温范围：    室温∼90℃内可调</w:t>
      </w:r>
    </w:p>
    <w:p>
      <w:r>
        <w:rPr>
          <w:rFonts w:hint="eastAsia"/>
        </w:rPr>
        <w:t>•  漏斗控温显示：    LED数字显示</w:t>
      </w:r>
    </w:p>
    <w:p>
      <w:r>
        <w:rPr>
          <w:rFonts w:hint="eastAsia"/>
        </w:rPr>
        <w:t>•  漏斗控温精度：    ±2℃</w:t>
      </w:r>
    </w:p>
    <w:p>
      <w:r>
        <w:rPr>
          <w:rFonts w:hint="eastAsia"/>
        </w:rPr>
        <w:t>•  环境温度：       ≤35℃</w:t>
      </w:r>
    </w:p>
    <w:p>
      <w:r>
        <w:rPr>
          <w:rFonts w:hint="eastAsia"/>
        </w:rPr>
        <w:t>•  相对湿度：       ≤85％</w:t>
      </w:r>
    </w:p>
    <w:p>
      <w:r>
        <w:rPr>
          <w:rFonts w:hint="eastAsia"/>
        </w:rPr>
        <w:t>•  整机功耗：       不大于1200W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7095"/>
        <w:tab w:val="clear" w:pos="4153"/>
        <w:tab w:val="clear" w:pos="8306"/>
      </w:tabs>
    </w:pPr>
    <w:r>
      <w:rPr>
        <w:rFonts w:hint="eastAsia"/>
      </w:rPr>
      <w:t>公司地址：北京市昌平区新元科技园E座206</w:t>
    </w:r>
    <w:r>
      <w:rPr>
        <w:rFonts w:hint="eastAsia"/>
        <w:lang w:val="en-US" w:eastAsia="zh-CN"/>
      </w:rPr>
      <w:t xml:space="preserve">      </w:t>
    </w:r>
    <w:r>
      <w:t xml:space="preserve">                          </w:t>
    </w:r>
    <w:r>
      <w:rPr>
        <w:rFonts w:hint="eastAsia"/>
      </w:rPr>
      <w:t>公司网址：w</w:t>
    </w:r>
    <w:r>
      <w:t>ww.dltkj.cn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 xml:space="preserve">得利特（北京）科技有限公司 </w:t>
    </w:r>
    <w:r>
      <w:t xml:space="preserve">                                    TEL:010-80764046;010-80764056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8"/>
    <w:rsid w:val="00027B8E"/>
    <w:rsid w:val="00192E79"/>
    <w:rsid w:val="002D14C6"/>
    <w:rsid w:val="00346E1F"/>
    <w:rsid w:val="00366E61"/>
    <w:rsid w:val="00582090"/>
    <w:rsid w:val="00724D01"/>
    <w:rsid w:val="00895A21"/>
    <w:rsid w:val="00A6252F"/>
    <w:rsid w:val="00B64A68"/>
    <w:rsid w:val="00BE5D98"/>
    <w:rsid w:val="00E2435D"/>
    <w:rsid w:val="00E728AC"/>
    <w:rsid w:val="00E933E1"/>
    <w:rsid w:val="00EF523A"/>
    <w:rsid w:val="0191679B"/>
    <w:rsid w:val="07271AB2"/>
    <w:rsid w:val="079D29FD"/>
    <w:rsid w:val="081902D7"/>
    <w:rsid w:val="0BDC1711"/>
    <w:rsid w:val="13EA3531"/>
    <w:rsid w:val="15AE632F"/>
    <w:rsid w:val="162F1682"/>
    <w:rsid w:val="19BD427B"/>
    <w:rsid w:val="245A13DF"/>
    <w:rsid w:val="24B0407D"/>
    <w:rsid w:val="298E79BA"/>
    <w:rsid w:val="363F70C7"/>
    <w:rsid w:val="39A95747"/>
    <w:rsid w:val="3ACC3574"/>
    <w:rsid w:val="3AE30F68"/>
    <w:rsid w:val="3DEC4889"/>
    <w:rsid w:val="3F076E5A"/>
    <w:rsid w:val="44465B05"/>
    <w:rsid w:val="47530E35"/>
    <w:rsid w:val="484905B0"/>
    <w:rsid w:val="4E875BE3"/>
    <w:rsid w:val="4F1544CE"/>
    <w:rsid w:val="50B91078"/>
    <w:rsid w:val="51BB4A51"/>
    <w:rsid w:val="552F05BB"/>
    <w:rsid w:val="596D71AD"/>
    <w:rsid w:val="597E3F17"/>
    <w:rsid w:val="5BCB427E"/>
    <w:rsid w:val="68835DE0"/>
    <w:rsid w:val="6B4A029A"/>
    <w:rsid w:val="6D9A4737"/>
    <w:rsid w:val="72744A02"/>
    <w:rsid w:val="736A1AE9"/>
    <w:rsid w:val="77240531"/>
    <w:rsid w:val="78B841EA"/>
    <w:rsid w:val="7A8F5D1F"/>
    <w:rsid w:val="7EB01F74"/>
    <w:rsid w:val="7F5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4472C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Plain Text"/>
    <w:basedOn w:val="1"/>
    <w:qFormat/>
    <w:uiPriority w:val="0"/>
    <w:rPr>
      <w:rFonts w:ascii="宋体" w:hAnsi="Courier New" w:cs="Courier New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itle"/>
    <w:basedOn w:val="1"/>
    <w:next w:val="1"/>
    <w:link w:val="3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字符"/>
    <w:basedOn w:val="18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4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标题 1 字符"/>
    <w:basedOn w:val="1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6"/>
      <w:szCs w:val="36"/>
    </w:rPr>
  </w:style>
  <w:style w:type="character" w:customStyle="1" w:styleId="26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7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9">
    <w:name w:val="标题 5 字符"/>
    <w:basedOn w:val="18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30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7 字符"/>
    <w:basedOn w:val="18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3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标题 字符"/>
    <w:basedOn w:val="18"/>
    <w:link w:val="16"/>
    <w:qFormat/>
    <w:uiPriority w:val="10"/>
    <w:rPr>
      <w:rFonts w:asciiTheme="majorHAnsi" w:hAnsiTheme="majorHAnsi" w:eastAsiaTheme="majorEastAsia" w:cstheme="majorBidi"/>
      <w:color w:val="2F5597" w:themeColor="accent1" w:themeShade="BF"/>
      <w:spacing w:val="-7"/>
      <w:sz w:val="80"/>
      <w:szCs w:val="80"/>
    </w:rPr>
  </w:style>
  <w:style w:type="character" w:customStyle="1" w:styleId="35">
    <w:name w:val="副标题 字符"/>
    <w:basedOn w:val="18"/>
    <w:link w:val="15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No Spacing"/>
    <w:qFormat/>
    <w:uiPriority w:val="1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7">
    <w:name w:val="Quote"/>
    <w:basedOn w:val="1"/>
    <w:next w:val="1"/>
    <w:link w:val="38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38">
    <w:name w:val="引用 字符"/>
    <w:basedOn w:val="18"/>
    <w:link w:val="37"/>
    <w:qFormat/>
    <w:uiPriority w:val="29"/>
    <w:rPr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0">
    <w:name w:val="明显引用 字符"/>
    <w:basedOn w:val="18"/>
    <w:link w:val="39"/>
    <w:qFormat/>
    <w:uiPriority w:val="30"/>
    <w:rPr>
      <w:rFonts w:asciiTheme="majorHAnsi" w:hAnsiTheme="majorHAnsi" w:eastAsiaTheme="majorEastAsia" w:cstheme="majorBidi"/>
      <w:color w:val="4472C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1">
    <w:name w:val="不明显强调1"/>
    <w:basedOn w:val="18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明显强调1"/>
    <w:basedOn w:val="18"/>
    <w:qFormat/>
    <w:uiPriority w:val="21"/>
    <w:rPr>
      <w:b/>
      <w:bCs/>
      <w:i/>
      <w:iCs/>
    </w:rPr>
  </w:style>
  <w:style w:type="character" w:customStyle="1" w:styleId="43">
    <w:name w:val="不明显参考1"/>
    <w:basedOn w:val="18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明显参考1"/>
    <w:basedOn w:val="18"/>
    <w:qFormat/>
    <w:uiPriority w:val="32"/>
    <w:rPr>
      <w:b/>
      <w:bCs/>
      <w:smallCaps/>
      <w:u w:val="single"/>
    </w:rPr>
  </w:style>
  <w:style w:type="character" w:customStyle="1" w:styleId="45">
    <w:name w:val="书籍标题1"/>
    <w:basedOn w:val="18"/>
    <w:qFormat/>
    <w:uiPriority w:val="33"/>
    <w:rPr>
      <w:b/>
      <w:bCs/>
      <w:smallCaps/>
    </w:rPr>
  </w:style>
  <w:style w:type="paragraph" w:customStyle="1" w:styleId="46">
    <w:name w:val="TOC 标题1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得利特（北京）科技有限公司</Company>
  <Pages>1</Pages>
  <Words>66</Words>
  <Characters>377</Characters>
  <Lines>3</Lines>
  <Paragraphs>1</Paragraphs>
  <TotalTime>10</TotalTime>
  <ScaleCrop>false</ScaleCrop>
  <LinksUpToDate>false</LinksUpToDate>
  <CharactersWithSpaces>442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2018-07-12T06:49:00Z</dcterms:created>
  <dc:creator>Lenovo</dc:creator>
  <cp:lastModifiedBy>北京得利特～分析仪器18600631915</cp:lastModifiedBy>
  <cp:lastPrinted>2018-10-16T03:11:00Z</cp:lastPrinted>
  <dcterms:modified xsi:type="dcterms:W3CDTF">2019-05-13T06:10:43Z</dcterms:modified>
  <dc:subject>A1280机械杂质测定仪</dc:subject>
  <dc:title>A1280机械杂质测定仪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